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74 vom 17. Juni 1986</w:t>
      </w:r>
    </w:p>
    <w:p>
      <w:r>
        <w:t>Bundesgericht (BGE), 1986-06-17, FR</w:t>
      </w:r>
    </w:p>
    <w:p>
      <w:r>
        <w:rPr>
          <w:b/>
        </w:rPr>
        <w:t xml:space="preserve">Quelle: </w:t>
      </w:r>
      <w:r>
        <w:t>https://mcp.opencaselaw.ch/entscheid/bge_114 IB 74</w:t>
      </w:r>
    </w:p>
    <w:p>
      <w:r>
        <w:t>FR: BGE 114 IB 74 du 17 juin 1986</w:t>
      </w:r>
    </w:p>
    <w:p>
      <w:r>
        <w:t>IT: BGE 114 IB 74 del 17 giugno 1986</w:t>
      </w:r>
    </w:p>
    <w:p>
      <w:pPr>
        <w:pStyle w:val="Heading2"/>
      </w:pPr>
      <w:r>
        <w:t>Regeste</w:t>
      </w:r>
    </w:p>
    <w:p>
      <w:r>
        <w:t>Regeste Art. 136 ff OG; Revision eines Beschlusses, der einen Vergleichsabschluss feststellt und die als gegenstandslos gewordene Beschwerde abschreibt und von der Geschäftskontrolle streicht. Ein gerichtlicher Vergleich und die Abschreibungsverfügung, die sich darauf beschränkt, vom Vergleich Vormerkung zu nehmen, können nicht mit einer Revision i.S. von Art. 136 ff OG in Frage gestellt werden. Hingegen kann die Gültigkeit mit zivilrechtlichen Rechtsmitteln angefochten werden. Die zuständige Behörde ist im Bereich der formellen Enteignung diejenige, vor der der Streit vor Abschluss des Vergleichs hängig war, im konkreten Fall das Bundesgericht (E. 1). Prüfung der Gültigkeit eines Vergleichs insbesondere unter dem Blickwinkel der Art. 21 OR (Verletzung) und Art. 23 ff OR (Irrtum). Bestätigung der bindenden Natur der konkreten Vereinbarung (E. 2a und b), die im übrigen eine höhere Entschädigung vorsieht als voraussichtlich bei Wiedereröffnung des Verfahrens zugesprochen würde (E. 3).</w:t>
      </w:r>
    </w:p>
    <w:p>
      <w:pPr>
        <w:pStyle w:val="Heading2"/>
      </w:pPr>
      <w:r>
        <w:t>Erwägungen</w:t>
      </w:r>
    </w:p>
    <w:p>
      <w:r>
        <w:rPr>
          <w:b/>
        </w:rPr>
        <w:t>E. 1</w:t>
      </w:r>
    </w:p>
    <w:p>
      <w:r>
        <w:t>Formellement, le requérant demande la revision du prononcé de radiation de la cause. Ce prononcé s'étant borné, sur le fond, à prendre acte de la transaction des parties, tout en en reprenant les termes essentiels, on peut admettre que la revision demandée porte aussi sur cet accord. Au vu des conclusions prises, la démarche du requérant tend à vrai dire à la réouverture de la procédure devant le Tribunal fédéral, ce qui implique d'annuler préalablement, ou tout au moins de ne pas prendre en considération, la transaction intervenue. Aux termes de l' art. 73 al. 4 PCF , applicable par renvoi de l' art. 40 OJ , la transaction judiciaire a la force exécutoire d'un jugement. Cette assimilation légale de la transaction au jugement a cependant des limites fixées par la différence essentielle qui existe entre ces deux institutions juridiques. Le jugement est un acte émanant de l'autorité et repose sur l'examen complet du fait et du droit de la cause par le juge conformément aux prescriptions de la BGE 114 Ib 74 S. 78 procédure; on conçoit donc que, pour assurer le plus possible la sécurité du droit, on lui reconnaisse une force définitive et inattaquable, hormis l'éventualité exceptionnelle de la revision. La transaction a certes ceci de commun avec le jugement que, tout comme lui, elle met fin au litige, mais - différence fondamentale - cet effet n'est pas la conséquence d'un acte de l'autorité; il résulte d'une convention de droit privé par laquelle les parties règlent à nouveau leurs rapports. La nature contractuelle de la transaction subsiste même si les parties n'ont pas été seules en pourparlers et que le juge délégué ou la délégation du tribunal y soient intervenus et aient fait des propositions de transaction. La transaction n'est donc assimilée au jugement qu'en ce qui concerne sa force exécutoire ( art. 73 al. 4 PCF ) et n'est pas susceptible de revision au sens des art. 136 ss OJ , procédure réservée aux "arrêts" du Tribunal fédéral. En tant que convention réglant les rapports de droit privé des parties, elle peut en revanche être déclarée nulle ou annulée pour les motifs et par les voies et moyens du droit civil, chacune des parties ayant donc la faculté d'intenter action pour faire constater que la transaction ne la lie pas (cf. ATF 60 II 57 ; BIRCHMEIER, Bundesrechtspflege, p. 499, n. e ad 136 OJ). Selon la jurisprudence, la décision sur la validité d'une transaction en matière d'expropriation incombe à l'autorité devant laquelle la cause était pendante avant la conclusion de la transaction ( ATF 108 Ib 375 consid. 2; GYGI, Bundesverwaltungsrechtspflege, 2e éd. p. 327). Le Tribunal fédéral peut donc entrer en matière sur la requête de M. aux fins de statuer non pas sur la revision de la décision du 22 septembre 1987, mais sur le caractère obligatoire de la transaction passée entre les parties. Suivant les résultats de son examen, il confirmera la décision de radiation ou ordonnera la réouverture de la procédure.</w:t>
      </w:r>
    </w:p>
    <w:p>
      <w:r>
        <w:rPr>
          <w:b/>
        </w:rPr>
        <w:t>E. 2</w:t>
      </w:r>
    </w:p>
    <w:p>
      <w:r>
        <w:t>Conclue pour mettre fin à une contestation par des concessions réciproques, la transaction peut être attaquée pour disproportion évidente entre la prestation promise et la contre-prestation (lésion, art. 21 CO ), erreur ( art. 23 ss CO ), dol ( art. 28 CO ) ou crainte fondée (art. 29 s CO). Aucun de ces motifs n'est expressément invoqué en l'espèce. a) S'agissant d'une éventuelle lésion, il convient de relever que l'on ne saurait obtenir par une transaction autant que l'on aurait, au mieux, pu toucher en soumettant la prétention à l'appréciation du juge (cf. MEIER-HAYOZ, FJS No 463). Dans le cas particulier, il ressort de l'état de fait ci-dessus que selon l'avis - partagé par BGE 114 Ib 74 S. 79 la délégation du Tribunal fédéral - des deux experts membres de la Commission fédérale supérieure d'estimation, l'hypothèse la plus favorable pour l'exproprié était une indemnité de 244'320 francs, et qu'en cas de jugement, le Tribunal fédéral aurait été lié, en vertu de l' art. 114 al. 1 OJ , par les conclusions de la recourante tendant au versement d'une indemnité totale de 261'785 francs. Or, par transaction, l'exproprié s'est vu allouer un montant de 265'000 francs; c'est dire qu'on peut écarter d'emblée le cas de lésion. b) Parmi les vices du consentement, seule l'erreur serait peut-être susceptible d'entrer en ligne de compte, le dol et la crainte fondée n'ayant manifestement pas à être envisagés in casu. Les parties transigent souvent pour mettre fin à un litige ou à une incertitude, sans élucider complètement la situation en fait et en droit. En transigeant, elles renoncent précisément à le faire. Le fait que, par la suite, elles constatent qu'elles étaient dans l'erreur au sujet de points contestés ne saurait les autoriser à attaquer la transaction en invoquant cette erreur ( ATF 105 Ia 119 , 82 II 375; MEIER-HAYOZ, loc.cit.). Le requérant se plaint principalement de ce que l'on aurait ignoré l'estimation faite dans le cadre de la procédure d'expropriation du domaine de l'hoirie X. Il suffit de constater à ce propos que cette estimation date du 20 octobre 1987, qu'elle est donc postérieure à la transaction ici en cause et qu'elle ne pouvait à l'évidence pas être prise en considération. On peut au reste laisser indécise la question de savoir s'il eût même été opportun de s'y référer au cas où elle aurait précédé la transaction, vu les particularités de chacune de ces affaires. On peut notamment relever à cet égard qu'une compensation en nature des surfaces expropriées a été admise dans un cas, mais pas dans l'autre; que pour l'hoirie X. le bâtiment principal à exproprier était une grange-écurie, alors que dans le cas du requérant il s'agissait d'un atelier-dépôt, dont la délégation du Tribunal fédéral et les experts ont d'ailleurs constaté la vétusté et le mauvais emplacement pour une exploitation rationnelle. ... Ces considérations ne peuvent conduire qu'à affirmer le caractère obligatoire de la transaction du 1er septembre 1987 et à entériner par conséquent l'ordonnance de radiation rendue le 22 septembre 1987 par la délégation du Tribunal fédéral.</w:t>
      </w:r>
    </w:p>
    <w:p>
      <w:r>
        <w:rPr>
          <w:b/>
        </w:rPr>
        <w:t>E. 3</w:t>
      </w:r>
    </w:p>
    <w:p>
      <w:r>
        <w:t>Même si, contre toute attente, il devait rouvrir la procédure d'expropriation en l'état où elle se trouvait avant la transaction, le Tribunal fédéral n'aurait vraisemblablement pas de raisons BGE 114 Ib 74 S. 80 sérieuses de s'écarter des conclusions auxquelles sont parvenus la délégation et les deux experts requis de coopérer en qualité de membres de la Commission fédérale supérieure d'estimation ( art. 80 et 82 LEx ). La concession faite par le représentant du DMF (indemnisation pour perte de loyer) tombant ensuite d'annulation de la transaction, c'est probablement le montant de 261'785 francs offert par l'expropriante qui devrait alors être alloué à l'exproprié en vertu de l' art. 114 al. 1 OJ , soit 3215 francs de moins que la somme obtenue par voie de transaction.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